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6156">
        <w:rPr>
          <w:rFonts w:ascii="Times New Roman" w:hAnsi="Times New Roman"/>
          <w:b/>
          <w:sz w:val="28"/>
          <w:szCs w:val="28"/>
        </w:rPr>
        <w:t>19.06.2021. (7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 2.6 Обработка домашней птицы, дичи, кролика</w:t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1.</w:t>
      </w:r>
      <w:r w:rsidRPr="006C67A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6C67AF">
        <w:rPr>
          <w:rFonts w:ascii="Times New Roman" w:eastAsia="MS Mincho" w:hAnsi="Times New Roman"/>
          <w:b/>
          <w:iCs/>
          <w:sz w:val="28"/>
          <w:szCs w:val="28"/>
          <w:lang w:eastAsia="ru-RU"/>
        </w:rPr>
        <w:t>Методы обработки домашней птицы и пернатой дичи, кролика. Виды заправки тушек домашней птицы, дичи, кулинарное назначение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6C67AF" w:rsidRDefault="006C67AF" w:rsidP="006C67AF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6C67AF" w:rsidRDefault="006C67AF" w:rsidP="006C67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6C67AF" w:rsidRDefault="006C67AF" w:rsidP="006C67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6C67AF" w:rsidRDefault="006C67AF" w:rsidP="006C67AF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6C67AF" w:rsidRDefault="006C67AF" w:rsidP="006C67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6C67AF" w:rsidRDefault="006C67AF" w:rsidP="006C67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6C67AF" w:rsidRDefault="006C67AF" w:rsidP="006C67AF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6C67AF" w:rsidRDefault="006C67AF" w:rsidP="006C67A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6C67AF" w:rsidRDefault="006C67AF" w:rsidP="006C67AF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8C55F7" w:rsidRPr="008C55F7" w:rsidRDefault="008C55F7" w:rsidP="008C55F7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Заправка птицы и дичи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Обработанные тушки птицы и дичи используют для тепловой обработки целиком или приготавливают порционные полуфабрикаты, а также р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убленую массу. Птицу, предназна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ченную для тепловой обработки целиком, предварительно формуют (заправляют), для того чтобы придать ей компактную форму, ускорить процесс 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тепловой обработки и чтобы удоб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нее было нарезать на порционные куски.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Перед заправкой тушки птицы и дичи сортируют: т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ушки, с поврежденным филе не за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правляют, а используют для приготовления котлетной массы или для варки.</w:t>
      </w:r>
    </w:p>
    <w:p w:rsidR="008C55F7" w:rsidRPr="008C55F7" w:rsidRDefault="008C55F7" w:rsidP="008C55F7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Заправка птицы. Тушки птицы заправляют: «в кармашек», в одну нитку, в две нитки.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Заправка «в кармашек» является наиболее простым и распространенным способом. Для этого делают разрезы кожи («кармашки») на брюшке с двух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 и вставляют в эти проре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 концы ножек. Кожей от шеи закрывают шейное отверстие, крылышки подвертывают к спине так, чтобы они придерживали кожу шеи.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Применяют и другой способ заправки «в кармашек». В этом случае при обработке птицы ножки отрубают на 1–1,5 см ниже пяточного сустава под 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углом 30°, чтобы получить заост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ренную кость. Кожу от шеи и крылышки заправляют так же, как и при первом способе. Затем подготовленную тушку кладут вниз спинкой, плотно прижимают ножки к тушке, концы их кладут друг на друга (крест-накрест) и вправляют внутрь разреза брюшка </w:t>
      </w:r>
      <w:proofErr w:type="gram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направлении к</w:t>
      </w:r>
      <w:proofErr w:type="gram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хвостовому жировику так, чтобы концы заостренных косточек зацепились за мякоть. «В кармашек» заправляют кур, цыплят, индеек для варки, гусей и уток – для жарки.</w:t>
      </w:r>
    </w:p>
    <w:p w:rsidR="008C55F7" w:rsidRPr="008C55F7" w:rsidRDefault="008C55F7" w:rsidP="008F2E0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Заправка в одну нитку </w:t>
      </w:r>
      <w:proofErr w:type="gram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–т</w:t>
      </w:r>
      <w:proofErr w:type="gram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ушку птицы укладывают спинкой вниз, левой рукой прижима-ют ножки к тушке, а правой прокалывают иглой с ниткой в центре окорочки под филейной частью так, чтобы игла вышла с противоположной стороны в </w:t>
      </w:r>
      <w:proofErr w:type="spell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пашине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ножкой. Иглу с ниткой протаскивают, конец нитки оставляют у первонач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прокола. Затем нитку на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кидывают на ножку, прокалывают иглой с ниткой конец филейной части, чтобы игла вышла с противоположной стороны, накидывают нитку на другую ножку, прокалывают </w:t>
      </w:r>
      <w:proofErr w:type="spell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пашину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ножкой, протаскивая иглу наискосок так, чтобы она вышла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другого окорочка с противопо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ложной стороны. Тушку поворачивают на бок, прокалыв</w:t>
      </w:r>
      <w:r w:rsidR="008F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 одно крыло, прикрепляют нит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кожу шеи к мышцам спины, прокалывают другое крыло, нитки стягивают и завязывают узел. В одну нитку заправляют птицу для жарки.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Заправка в две нитки – тушку кладут на стол спинкой вниз, прижимают ножки к тушке, прокалывают иглой с ниткой </w:t>
      </w:r>
      <w:proofErr w:type="spell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окорочек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месте сгиба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жки, пропускают под филейной ча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стью и прокалывают второй </w:t>
      </w:r>
      <w:proofErr w:type="spell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окорочек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протаскивают нитку, остав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ляя конец у первоначаль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прокола. Затем тушку поворачивают на бок, кожу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шейки накидывают на спинку, за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крывая шейное отверстие. Иголку с ниткой пропускают через одно крылышко, закрепляют ниткой кожу шеи на мышцах спинки и пропускают через другое крыл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ышко. После этого ко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нец нитки у крылышка и конец нитки, оставленный у окорочка, стягивают и завязывают в узел. Таким </w:t>
      </w:r>
      <w:proofErr w:type="gram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одной ниткой заправили крылышки.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ниткой ножки прикрепляют к тушке. Для этог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тушку кладут на спинку, прижи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мают ножки к тушке, прокалывают иглой под ножками,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акидывают нить на ножку и прока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лывают под ножками в обратном 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направлении, концы ниток стягивают и завязывают в узел. В две нитки заправляют кур, цыплят, индеек для жарки, а также крупную пернатую дичь – глухарей, тетеревов.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Заправка с помощью иглы ухудшает внешний вид птицы, при этом приходится делать глубокие проколы мякоти, игла покрывается жиром и скользит в руках. Поэтому можно применять способы заправки без иглы, которые более просты и ускоряют процесс заправки птицы (рис. 11).</w:t>
      </w:r>
    </w:p>
    <w:p w:rsidR="008C55F7" w:rsidRPr="008C55F7" w:rsidRDefault="008C55F7" w:rsidP="008C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55F7" w:rsidRPr="008C55F7" w:rsidRDefault="008C55F7" w:rsidP="008C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2E4014" wp14:editId="035D1F54">
            <wp:extent cx="3514725" cy="2162175"/>
            <wp:effectExtent l="0" t="0" r="9525" b="952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F7" w:rsidRPr="008C55F7" w:rsidRDefault="008C55F7" w:rsidP="008C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Рис. 11. Заправка птицы без иглы:</w:t>
      </w:r>
    </w:p>
    <w:p w:rsidR="008C55F7" w:rsidRPr="008C55F7" w:rsidRDefault="008C55F7" w:rsidP="008C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– первый </w:t>
      </w:r>
      <w:proofErr w:type="gram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способ; б</w:t>
      </w:r>
      <w:proofErr w:type="gram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второй способ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способ. Кожу шеи и крылышки заправляют так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же, как и при заправке «в карма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шек». Берут нитки длиной 0,5–0,6 м. Тушку кладут на спинку, на грудной кости завязывают петлю, для этого середину нитки цепляют за кончик грудн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кости (можно сделать неглубо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кий надрез), затем концы петли пропускают посредине </w:t>
      </w:r>
      <w:proofErr w:type="spell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крыльной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кости, подводят нитки под спинку, опоясывают тушку крест-накрест. После этого накладывают нитки на концы каждой ножки, стягивают, прижимая плотнее к тушке, завязывают в узел. Этот способ используют для заправки кур, цыплят.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Второй способ. Обработанную тушку кладут спинкой вниз. Берут нитки длиной 0,7–0,8 м. Завязывают петлю на хвостовом жировике, затем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отрубленные концы ножек набрасы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вают петлю, концы ниток пропускают по спинке и опоясывают тушку крест-накрест. Концы ниток выводят посредине </w:t>
      </w:r>
      <w:proofErr w:type="spellStart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крыльных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косточек, стягивают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нитки и завязывают в узел на фи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лейной части грудки. Этим способом лучше заправлять тушки крупной птицы.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Заправка дичи. Тушки пернатой дичи заправляют в од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ну нитку (крестом), ножка в нож</w:t>
      </w:r>
      <w:r w:rsidRPr="008C5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ку, клювом.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одну нитку (крестом) заправляют рябчиков, куропаток, тетеревов, фазанов. Для этого прижимают ножки к тушке, прокалывают центр окорочко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под филейной частью, протаски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вают иглу с ниткой на другую сторону, оставляя конец нитки у первоначального прокола.</w:t>
      </w:r>
    </w:p>
    <w:p w:rsidR="008C55F7" w:rsidRPr="008C55F7" w:rsidRDefault="008C55F7" w:rsidP="008C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этого иглу с ниткой переносят под тушку, накидывают на ножку, прокалывают под конец выступа филейной части, накидывают нитку на вторую ножку, концы ниток стягивают и завязывают.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Ножка в ножку заправляют мелкую дичь. У дичи 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разрез по кости на одной нож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ближе к пяточному суставу и в этот разрез вставляют другую ножку.</w:t>
      </w:r>
    </w:p>
    <w:p w:rsidR="008C55F7" w:rsidRP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Клювом заправляют болотную дичь. Для этого туп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стороной ножа или тяпкой раз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дробляют кости ножек в голенях, после чего переплетают их и прижимают к грудной части, головку с шеей прикладывают к тушке с правой стороны, делают иглой прокол в окорочке, клюв пропускают в прокол, скрепляя перевитые ножки.</w:t>
      </w:r>
    </w:p>
    <w:p w:rsidR="008C55F7" w:rsidRDefault="008C55F7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дичь поступила тощая, то для придания мясу сочности и нежности после заправки филейную часть крупной дичи (тетеревов, глухарей, фазанов, белой куропатк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шпигуют ох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лажденным шпиком, нарезанным мелкими брусочками.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облегчения процесса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шпигова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proofErr w:type="spellEnd"/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улучшения внешнего вида тушки погружают в горячий бульон или воду (60–70 °С) на 3–5 мин. У мелкой дичи филейную часть завертывают в тонкие полоски шпика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перевязы</w:t>
      </w:r>
      <w:r w:rsidRPr="008C5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вают шпагатом.</w:t>
      </w:r>
    </w:p>
    <w:p w:rsidR="00563A38" w:rsidRPr="008C55F7" w:rsidRDefault="00563A38" w:rsidP="008C55F7">
      <w:pPr>
        <w:spacing w:after="0" w:line="240" w:lineRule="auto"/>
        <w:ind w:firstLine="4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3A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Задание:</w:t>
      </w:r>
    </w:p>
    <w:p w:rsidR="00563A38" w:rsidRPr="00563A38" w:rsidRDefault="00563A38" w:rsidP="00563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A38">
        <w:rPr>
          <w:rFonts w:ascii="Times New Roman" w:hAnsi="Times New Roman"/>
          <w:b/>
          <w:sz w:val="28"/>
          <w:szCs w:val="28"/>
        </w:rPr>
        <w:t>заполните таблицу, указав последовательность механической обработки субпродуктов и их кулинарное использование</w:t>
      </w:r>
    </w:p>
    <w:p w:rsidR="00563A38" w:rsidRPr="00563A38" w:rsidRDefault="00563A38" w:rsidP="00563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5"/>
        <w:gridCol w:w="4427"/>
        <w:gridCol w:w="3189"/>
      </w:tblGrid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>Субпродукты</w:t>
            </w: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>Последовательность обработки</w:t>
            </w: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>Кулинарное использование</w:t>
            </w: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Головы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Гребешки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Шейки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Ножки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Крылышки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Желудок 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Печень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3A38" w:rsidRPr="00563A38" w:rsidTr="004A59FD">
        <w:tc>
          <w:tcPr>
            <w:tcW w:w="195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A38">
              <w:rPr>
                <w:rFonts w:ascii="Times New Roman" w:hAnsi="Times New Roman"/>
                <w:b/>
                <w:sz w:val="28"/>
                <w:szCs w:val="28"/>
              </w:rPr>
              <w:t xml:space="preserve">Сердец </w:t>
            </w:r>
          </w:p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A38" w:rsidRPr="00563A38" w:rsidRDefault="00563A38" w:rsidP="00563A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3A38" w:rsidRPr="00563A38" w:rsidRDefault="00563A38" w:rsidP="00563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9DF" w:rsidRPr="008F2E0A" w:rsidRDefault="00B839DF" w:rsidP="00563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839DF" w:rsidRPr="008F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AF"/>
    <w:rsid w:val="000F1B31"/>
    <w:rsid w:val="00563A38"/>
    <w:rsid w:val="00686156"/>
    <w:rsid w:val="006C67AF"/>
    <w:rsid w:val="008C55F7"/>
    <w:rsid w:val="008F2E0A"/>
    <w:rsid w:val="00B839DF"/>
    <w:rsid w:val="00F3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AF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6C67AF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6C67AF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6C67A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F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6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AF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6C67AF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6C67AF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6C67A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F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6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2021-06-11T07:27:00Z</dcterms:created>
  <dcterms:modified xsi:type="dcterms:W3CDTF">2021-06-15T11:27:00Z</dcterms:modified>
</cp:coreProperties>
</file>